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80" w:line="276" w:lineRule="auto"/>
        <w:shd w:val="clear" w:color="auto" w:fill="e2efd9"/>
        <w:rPr>
          <w:rFonts w:ascii="PT Serif" w:hAnsi="PT Serif" w:eastAsia="PT Serif" w:cs="PT Serif"/>
          <w:b/>
          <w:sz w:val="28"/>
          <w:szCs w:val="28"/>
        </w:rPr>
      </w:pPr>
      <w:r>
        <w:rPr>
          <w:rFonts w:ascii="PT Serif" w:hAnsi="PT Serif" w:eastAsia="PT Serif" w:cs="PT Serif"/>
          <w:b/>
          <w:sz w:val="28"/>
          <w:szCs w:val="28"/>
          <w:rtl w:val="0"/>
        </w:rPr>
        <w:t xml:space="preserve">Согласие на обработку персональных данных</w:t>
      </w:r>
      <w:r>
        <w:rPr>
          <w:rFonts w:ascii="PT Serif" w:hAnsi="PT Serif" w:eastAsia="PT Serif" w:cs="PT Serif"/>
          <w:b/>
          <w:sz w:val="28"/>
          <w:szCs w:val="28"/>
        </w:rPr>
      </w:r>
    </w:p>
    <w:p>
      <w:pPr>
        <w:spacing w:after="80" w:line="276" w:lineRule="auto"/>
        <w:rPr>
          <w:rFonts w:ascii="PT Serif" w:hAnsi="PT Serif" w:eastAsia="PT Serif" w:cs="PT Serif"/>
        </w:rPr>
      </w:pPr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spacing w:line="276" w:lineRule="auto"/>
        <w:rPr>
          <w:rFonts w:ascii="PT Serif" w:hAnsi="PT Serif" w:eastAsia="PT Serif" w:cs="PT Serif"/>
        </w:rPr>
      </w:pPr>
      <w:r/>
      <w:sdt>
        <w:sdtPr>
          <w15:appearance w15:val="boundingBox"/>
          <w:tag w:val="goog_rdk_0"/>
          <w:rPr/>
        </w:sdtPr>
        <w:sdtContent>
          <w:r>
            <w:rPr>
              <w:rFonts w:ascii="Cousine" w:hAnsi="Cousine" w:eastAsia="Cousine" w:cs="Cousine"/>
              <w:rtl w:val="0"/>
            </w:rPr>
            <w:t xml:space="preserve">В соответствии с требованиями Федерального закона от 27.07.2006 г. № 152-ФЗ «О персональных данных», действуя свободно, своей волей и в своем интересе, а также подтверждая свою правоспособность </w:t>
          </w:r>
          <w:r>
            <w:rPr>
              <w:rFonts w:ascii="Cousine" w:hAnsi="Cousine" w:eastAsia="Cousine" w:cs="Cousine"/>
              <w:rtl w:val="0"/>
            </w:rPr>
            <w:t xml:space="preserve">и дееспособность, я (далее – «Пользователь») даю свое согласие Обществу с ограниченной ответственностью «МАСТЕРСКАЯ ПАРА» (ИНН 7813667202, КПП 781301001, ОГРН 1227800123121) (далее – «Оператор») на обработку своих персональных данных на следующих условиях:</w:t>
          </w:r>
        </w:sdtContent>
      </w:sdt>
      <w:r/>
      <w:r>
        <w:rPr>
          <w:rFonts w:ascii="PT Serif" w:hAnsi="PT Serif" w:eastAsia="PT Serif" w:cs="PT Serif"/>
        </w:rPr>
      </w:r>
    </w:p>
    <w:p>
      <w:pPr>
        <w:spacing w:after="80" w:line="276" w:lineRule="auto"/>
        <w:rPr>
          <w:rFonts w:ascii="PT Serif" w:hAnsi="PT Serif" w:eastAsia="PT Serif" w:cs="PT Serif"/>
        </w:rPr>
      </w:pPr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Мое согласие является конкретным, предметным, информированным, сознательным и однозначным.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</w:t>
      </w:r>
      <w:r>
        <w:rPr>
          <w:rFonts w:ascii="PT Serif" w:hAnsi="PT Serif" w:eastAsia="PT Serif" w:cs="PT Serif"/>
          <w:rtl w:val="0"/>
        </w:rPr>
        <w:t xml:space="preserve"> </w:t>
      </w:r>
      <w:r>
        <w:rPr>
          <w:rFonts w:ascii="PT Serif" w:hAnsi="PT Serif" w:eastAsia="PT Serif" w:cs="PT Serif"/>
          <w:color w:val="000000"/>
          <w:rtl w:val="0"/>
        </w:rPr>
        <w:t xml:space="preserve">(за исключением случаев, когда такие данные передаются Пользователем добровольно для публикации): 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Фамилия, имя, отчество;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e-mail;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номер мобильного телефона;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ID в мессенджерах (WhatsApp);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реквизиты счета для оплаты;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2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фото, видео и аудиозаписи (в случае, если они передаются Пользователем для публикации на сайте и маркетинговых ресурсах Исполнителя).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Цель обработки персональных данных: 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обработка заказа/заявки на получение услуг и идентификации Пользователя;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обработка и получение платежей, оспаривания платежа;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предоставление Пользователю возможности использовать Ресурсы;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предоставление Пользователю клиентской и технической поддержки при возникновении проблем, связанных с использованием Ресурсов и/или услугами, оказываемых Оператором посредством Сайта;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осуществление рекламной и новостной рассылки на e-mail/номер мобильного телефона/ID WhatsApp Пользователя;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обработка обращений Пользователя, направляемых Оператору;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публикация на Сайте и других ресурсах Оператора информации о Пользователе и его отзыве об услугах Оператора, демонстрация результатов услуг Оператора;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обеспечение корректного функционирования Ресурсов;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предоставление доступа к информации, содержащейся на Ресурсах Оператора. 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В ходе</w:t>
      </w:r>
      <w:r>
        <w:rPr>
          <w:rFonts w:ascii="PT Serif" w:hAnsi="PT Serif" w:eastAsia="PT Serif" w:cs="PT Serif"/>
          <w:color w:val="000000"/>
          <w:rtl w:val="0"/>
        </w:rPr>
        <w:t xml:space="preserve">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Для достижения целей обработки </w:t>
      </w:r>
      <w:r>
        <w:rPr>
          <w:rFonts w:ascii="PT Serif" w:hAnsi="PT Serif" w:eastAsia="PT Serif" w:cs="PT Serif"/>
          <w:rtl w:val="0"/>
        </w:rPr>
        <w:t xml:space="preserve">Общество с ограниченной ответственностью «МАСТЕРСКАЯ ПАРА» </w:t>
      </w:r>
      <w:r>
        <w:rPr>
          <w:rFonts w:ascii="PT Serif" w:hAnsi="PT Serif" w:eastAsia="PT Serif" w:cs="PT Serif"/>
          <w:color w:val="000000"/>
          <w:rtl w:val="0"/>
        </w:rPr>
        <w:t xml:space="preserve">поручает нижеуказанным категориям третьих лиц обрабатывать предоставленные персональные данные. Настоящим я даю согласие на передачу моих персональных данных указанным третьим лицам: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операторы сотовой связи;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владельцы социальных сетей;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владельцы мессенджеров;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специализированные платформы для рассылки рекламных предложений.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Оператор обрабатывает персональные данные в соответствии с Политикой конфиденциальности.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Я согласен(а) квалифицировать в качестве простой электронной подписи под согласием и Политикой конфиденциальности выполнение мною одного или в совокупности следующих действий: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простановка мною символа в чек-боксе (в поле для ввода) рядом с текстом: «Я даю согласие на обработку своих персональных данных», либо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нажатие мною на элемент интерфейса с текстом «Оплатить», либо 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оплаты услуг Оператора, либо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1"/>
          <w:numId w:val="1"/>
        </w:numPr>
        <w:ind w:left="1134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направления в ответ на предоставленные для ознакомления документы подтверждения о том, что я ознакомлен с Политикой конфиденциальности и даю согласие на обработку персональных данных и условиями публичной оферты Оператора. 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Согласие действует с момента его предоставления и до момента отзыва.</w:t>
      </w:r>
      <w:r>
        <w:rPr>
          <w:rFonts w:ascii="PT Serif" w:hAnsi="PT Serif" w:eastAsia="PT Serif" w:cs="PT Serif"/>
          <w:color w:val="000000"/>
        </w:rPr>
      </w:r>
    </w:p>
    <w:p>
      <w:pPr>
        <w:numPr>
          <w:ilvl w:val="0"/>
          <w:numId w:val="1"/>
        </w:numPr>
        <w:ind w:left="567" w:hanging="567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color w:val="000000"/>
          <w:rtl w:val="0"/>
        </w:rPr>
        <w:t xml:space="preserve">Я вправе отозвать согласие путем направления Оператору заявления в форме электронного документа по e-mail </w:t>
      </w:r>
      <w:hyperlink r:id="rId14" w:tooltip="mailto:info@mpara.ru" w:history="1">
        <w:r>
          <w:rPr>
            <w:rFonts w:ascii="PT Serif" w:hAnsi="PT Serif" w:eastAsia="PT Serif" w:cs="PT Serif"/>
            <w:color w:val="0563c1"/>
            <w:u w:val="single"/>
            <w:rtl w:val="0"/>
          </w:rPr>
          <w:t xml:space="preserve">info@mpara.ru</w:t>
        </w:r>
      </w:hyperlink>
      <w:r>
        <w:rPr>
          <w:rFonts w:ascii="PT Serif" w:hAnsi="PT Serif" w:eastAsia="PT Serif" w:cs="PT Serif"/>
          <w:rtl w:val="0"/>
        </w:rPr>
        <w:t xml:space="preserve">. Оператор прекращает обработку персональных данных в течение 10 рабочих дней с момента получения запроса, за исключением случаев, когда обработка данных обязательна по закону.</w:t>
      </w:r>
      <w:r>
        <w:rPr>
          <w:rtl w:val="0"/>
        </w:rPr>
      </w:r>
      <w:r>
        <w:rPr>
          <w:rFonts w:ascii="PT Serif" w:hAnsi="PT Serif" w:eastAsia="PT Serif" w:cs="PT Serif"/>
          <w:color w:val="000000"/>
        </w:rPr>
      </w:r>
    </w:p>
    <w:p>
      <w:pPr>
        <w:ind w:left="567" w:firstLine="0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b/>
        </w:rPr>
      </w:pPr>
      <w:r>
        <w:rPr>
          <w:rFonts w:ascii="PT Serif" w:hAnsi="PT Serif" w:eastAsia="PT Serif" w:cs="PT Serif"/>
          <w:b/>
          <w:rtl w:val="0"/>
        </w:rPr>
        <w:t xml:space="preserve">Реквизиты:</w:t>
      </w:r>
      <w:r>
        <w:rPr>
          <w:rFonts w:ascii="PT Serif" w:hAnsi="PT Serif" w:eastAsia="PT Serif" w:cs="PT Serif"/>
          <w:b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Общество с ограниченной ответственностью «МАСТЕРСКАЯ ПАРА»</w:t>
      </w:r>
      <w:r>
        <w:rPr>
          <w:rFonts w:ascii="PT Serif" w:hAnsi="PT Serif" w:eastAsia="PT Serif" w:cs="PT Serif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Юридический адрес: 197136, г. Санкт-Петербург, Муниципальный округ Аптекарский остров, проспект Большой П.С., д.84, литера А, помещ. 16 - Н</w:t>
      </w:r>
      <w:r>
        <w:rPr>
          <w:rFonts w:ascii="PT Serif" w:hAnsi="PT Serif" w:eastAsia="PT Serif" w:cs="PT Serif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ИНН 7813667202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КПП 781301001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ОГРН 1227800123121</w:t>
      </w:r>
      <w:r>
        <w:rPr>
          <w:rFonts w:ascii="PT Serif" w:hAnsi="PT Serif" w:eastAsia="PT Serif" w:cs="PT Serif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Расчетный счет: 40702810600000034561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Банк: АО БАНК "ПСКБ"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БИК: 044030852</w:t>
      </w:r>
      <w:r>
        <w:rPr>
          <w:rFonts w:ascii="PT Serif" w:hAnsi="PT Serif" w:eastAsia="PT Serif" w:cs="PT Serif"/>
          <w:color w:val="000000"/>
        </w:rPr>
      </w:r>
    </w:p>
    <w:p>
      <w:pPr>
        <w:rPr>
          <w:rFonts w:ascii="PT Serif" w:hAnsi="PT Serif" w:eastAsia="PT Serif" w:cs="PT Serif"/>
          <w:color w:val="000000"/>
        </w:rPr>
      </w:pPr>
      <w:r>
        <w:rPr>
          <w:rFonts w:ascii="PT Serif" w:hAnsi="PT Serif" w:eastAsia="PT Serif" w:cs="PT Serif"/>
          <w:color w:val="000000"/>
          <w:rtl w:val="0"/>
        </w:rPr>
        <w:t xml:space="preserve">Корр. счет: 30101810000000000852</w:t>
      </w:r>
      <w:r>
        <w:rPr>
          <w:rFonts w:ascii="PT Serif" w:hAnsi="PT Serif" w:eastAsia="PT Serif" w:cs="PT Serif"/>
          <w:color w:val="000000"/>
        </w:rPr>
      </w:r>
    </w:p>
    <w:p>
      <w:pPr>
        <w:spacing w:after="80" w:line="276" w:lineRule="auto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rtl w:val="0"/>
        </w:rPr>
        <w:t xml:space="preserve">e-mail: </w:t>
      </w:r>
      <w:hyperlink r:id="rId15" w:tooltip="mailto:info@mpara.ru" w:history="1">
        <w:r>
          <w:rPr>
            <w:rFonts w:ascii="PT Serif" w:hAnsi="PT Serif" w:eastAsia="PT Serif" w:cs="PT Serif"/>
            <w:color w:val="0563c1"/>
            <w:u w:val="single"/>
            <w:rtl w:val="0"/>
          </w:rPr>
          <w:t xml:space="preserve">info@mpara.ru</w:t>
        </w:r>
      </w:hyperlink>
      <w:r>
        <w:rPr>
          <w:rtl w:val="0"/>
        </w:rPr>
      </w:r>
      <w:r>
        <w:rPr>
          <w:rFonts w:ascii="PT Serif" w:hAnsi="PT Serif" w:eastAsia="PT Serif" w:cs="PT Serif"/>
        </w:rPr>
      </w:r>
    </w:p>
    <w:p>
      <w:pPr>
        <w:ind w:left="567" w:firstLine="0"/>
        <w:spacing w:after="80" w:line="276" w:lineRule="auto"/>
        <w:rPr>
          <w:rFonts w:ascii="PT Serif" w:hAnsi="PT Serif" w:eastAsia="PT Serif" w:cs="PT Serif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PT Serif" w:hAnsi="PT Serif" w:eastAsia="PT Serif" w:cs="PT Serif"/>
          <w:color w:val="000000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604030504040204"/>
  </w:font>
  <w:font w:name="Courier New">
    <w:panose1 w:val="02070309020205020404"/>
  </w:font>
  <w:font w:name="PT Serif">
    <w:panose1 w:val="020B060403050404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ousine">
    <w:panose1 w:val="020B0604030504040204"/>
  </w:font>
  <w:font w:name="Helvetica Neue">
    <w:panose1 w:val="020B060403050404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PT Serif" w:hAnsi="PT Serif" w:eastAsia="PT Serif" w:cs="PT Serif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  <w:p>
    <w:pPr>
      <w:ind w:left="0" w:right="36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  <w:p>
    <w:pPr>
      <w:ind w:left="0" w:right="36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13" w:leader="none"/>
        <w:tab w:val="right" w:pos="9026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rFonts w:ascii="Helvetica Neue" w:hAnsi="Helvetica Neue" w:eastAsia="Helvetica Neue" w:cs="Helvetica Neue"/>
        <w:color w:val="000000"/>
        <w:sz w:val="21"/>
        <w:szCs w:val="21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1"/>
        <w:szCs w:val="21"/>
      </w:rPr>
    </w:r>
  </w:p>
  <w:p>
    <w:pPr>
      <w:tabs>
        <w:tab w:val="center" w:pos="4513" w:leader="none"/>
        <w:tab w:val="right" w:pos="9026" w:leader="none"/>
      </w:tabs>
      <w:rPr>
        <w:rFonts w:ascii="Helvetica Neue" w:hAnsi="Helvetica Neue" w:eastAsia="Helvetica Neue" w:cs="Helvetica Neue"/>
        <w:color w:val="000000"/>
        <w:sz w:val="21"/>
        <w:szCs w:val="21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1"/>
        <w:szCs w:val="2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color w:val="000000"/>
      </w:rPr>
    </w:r>
  </w:p>
  <w:p>
    <w:pPr>
      <w:tabs>
        <w:tab w:val="center" w:pos="4513" w:leader="none"/>
        <w:tab w:val="right" w:pos="9026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Serif" w:hAnsi="PT Serif" w:eastAsia="PT Serif" w:cs="PT Serif"/>
        <w:b w:val="0"/>
        <w:i w:val="0"/>
        <w:sz w:val="24"/>
        <w:szCs w:val="24"/>
      </w:rPr>
    </w:lvl>
    <w:lvl w:ilvl="1">
      <w:start w:val="1"/>
      <w:numFmt w:val="decimal"/>
      <w:isLgl w:val="false"/>
      <w:suff w:val="tab"/>
      <w:lvlText w:val="(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6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6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6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6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6"/>
    <w:link w:val="700"/>
    <w:uiPriority w:val="10"/>
    <w:rPr>
      <w:sz w:val="48"/>
      <w:szCs w:val="48"/>
    </w:rPr>
  </w:style>
  <w:style w:type="character" w:styleId="37">
    <w:name w:val="Subtitle Char"/>
    <w:basedOn w:val="696"/>
    <w:link w:val="720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6"/>
    <w:uiPriority w:val="99"/>
  </w:style>
  <w:style w:type="character" w:styleId="45">
    <w:name w:val="Footer Char"/>
    <w:basedOn w:val="696"/>
    <w:link w:val="709"/>
    <w:uiPriority w:val="99"/>
  </w:style>
  <w:style w:type="paragraph" w:styleId="46">
    <w:name w:val="Caption"/>
    <w:basedOn w:val="689"/>
    <w:next w:val="68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0">
    <w:name w:val="Normal"/>
  </w:style>
  <w:style w:type="paragraph" w:styleId="682">
    <w:name w:val="Heading 1"/>
    <w:basedOn w:val="680"/>
    <w:next w:val="680"/>
    <w:pPr>
      <w:keepLines/>
      <w:keepNext/>
      <w:spacing w:before="480" w:after="120"/>
    </w:pPr>
    <w:rPr>
      <w:b/>
      <w:sz w:val="48"/>
      <w:szCs w:val="48"/>
    </w:rPr>
  </w:style>
  <w:style w:type="paragraph" w:styleId="683">
    <w:name w:val="Heading 2"/>
    <w:basedOn w:val="680"/>
    <w:next w:val="680"/>
    <w:pPr>
      <w:keepLines/>
      <w:keepNext/>
      <w:spacing w:before="360" w:after="80"/>
    </w:pPr>
    <w:rPr>
      <w:b/>
      <w:sz w:val="36"/>
      <w:szCs w:val="36"/>
    </w:rPr>
  </w:style>
  <w:style w:type="paragraph" w:styleId="684">
    <w:name w:val="Heading 3"/>
    <w:basedOn w:val="680"/>
    <w:next w:val="680"/>
    <w:pPr>
      <w:keepLines/>
      <w:keepNext/>
      <w:spacing w:before="280" w:after="80"/>
    </w:pPr>
    <w:rPr>
      <w:b/>
      <w:sz w:val="28"/>
      <w:szCs w:val="28"/>
    </w:rPr>
  </w:style>
  <w:style w:type="paragraph" w:styleId="685">
    <w:name w:val="Heading 4"/>
    <w:basedOn w:val="680"/>
    <w:next w:val="680"/>
    <w:pPr>
      <w:keepLines/>
      <w:keepNext/>
      <w:spacing w:before="240" w:after="40"/>
    </w:pPr>
    <w:rPr>
      <w:b/>
    </w:rPr>
  </w:style>
  <w:style w:type="paragraph" w:styleId="686">
    <w:name w:val="Heading 5"/>
    <w:basedOn w:val="680"/>
    <w:next w:val="680"/>
    <w:pPr>
      <w:keepLines/>
      <w:keepNext/>
      <w:spacing w:before="220" w:after="40"/>
    </w:pPr>
    <w:rPr>
      <w:b/>
      <w:sz w:val="22"/>
      <w:szCs w:val="22"/>
    </w:rPr>
  </w:style>
  <w:style w:type="paragraph" w:styleId="687">
    <w:name w:val="Heading 6"/>
    <w:basedOn w:val="680"/>
    <w:next w:val="680"/>
    <w:pPr>
      <w:keepLines/>
      <w:keepNext/>
      <w:spacing w:before="200" w:after="40"/>
    </w:pPr>
    <w:rPr>
      <w:b/>
      <w:sz w:val="20"/>
      <w:szCs w:val="20"/>
    </w:rPr>
  </w:style>
  <w:style w:type="paragraph" w:styleId="688">
    <w:name w:val="Title"/>
    <w:basedOn w:val="680"/>
    <w:next w:val="680"/>
    <w:pPr>
      <w:keepLines/>
      <w:keepNext/>
      <w:spacing w:before="480" w:after="120"/>
    </w:pPr>
    <w:rPr>
      <w:b/>
      <w:sz w:val="72"/>
      <w:szCs w:val="72"/>
    </w:rPr>
  </w:style>
  <w:style w:type="paragraph" w:styleId="689">
    <w:name w:val="Normal"/>
    <w:qFormat/>
  </w:style>
  <w:style w:type="paragraph" w:styleId="690">
    <w:name w:val="Heading 1"/>
    <w:basedOn w:val="689"/>
    <w:next w:val="689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1">
    <w:name w:val="Heading 2"/>
    <w:basedOn w:val="689"/>
    <w:next w:val="689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2">
    <w:name w:val="Heading 3"/>
    <w:basedOn w:val="689"/>
    <w:next w:val="689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3">
    <w:name w:val="Heading 4"/>
    <w:basedOn w:val="689"/>
    <w:next w:val="689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94">
    <w:name w:val="Heading 5"/>
    <w:basedOn w:val="689"/>
    <w:next w:val="689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95">
    <w:name w:val="Heading 6"/>
    <w:basedOn w:val="689"/>
    <w:next w:val="689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table" w:styleId="69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0">
    <w:name w:val="Title"/>
    <w:basedOn w:val="689"/>
    <w:next w:val="689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01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Table Grid"/>
    <w:basedOn w:val="69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3">
    <w:name w:val="Hyperlink"/>
    <w:basedOn w:val="696"/>
    <w:uiPriority w:val="99"/>
    <w:unhideWhenUsed/>
    <w:rPr>
      <w:color w:val="0563c1" w:themeColor="hyperlink"/>
      <w:u w:val="single"/>
    </w:rPr>
  </w:style>
  <w:style w:type="character" w:styleId="704">
    <w:name w:val="Unresolved Mention"/>
    <w:basedOn w:val="696"/>
    <w:uiPriority w:val="99"/>
    <w:semiHidden/>
    <w:unhideWhenUsed/>
    <w:rPr>
      <w:color w:val="605e5c"/>
      <w:shd w:val="clear" w:color="auto" w:fill="e1dfdd"/>
    </w:rPr>
  </w:style>
  <w:style w:type="paragraph" w:styleId="705">
    <w:name w:val="List Paragraph"/>
    <w:basedOn w:val="689"/>
    <w:uiPriority w:val="34"/>
    <w:qFormat/>
    <w:pPr>
      <w:contextualSpacing/>
      <w:ind w:left="720"/>
    </w:pPr>
  </w:style>
  <w:style w:type="paragraph" w:styleId="706">
    <w:name w:val="Header"/>
    <w:basedOn w:val="689"/>
    <w:link w:val="707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07" w:customStyle="1">
    <w:name w:val="Верхний колонтитул Знак"/>
    <w:basedOn w:val="696"/>
    <w:link w:val="706"/>
    <w:uiPriority w:val="99"/>
  </w:style>
  <w:style w:type="character" w:styleId="708">
    <w:name w:val="page number"/>
    <w:basedOn w:val="696"/>
    <w:uiPriority w:val="99"/>
    <w:semiHidden/>
    <w:unhideWhenUsed/>
  </w:style>
  <w:style w:type="paragraph" w:styleId="709">
    <w:name w:val="Footer"/>
    <w:basedOn w:val="689"/>
    <w:link w:val="710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710" w:customStyle="1">
    <w:name w:val="Нижний колонтитул Знак"/>
    <w:basedOn w:val="696"/>
    <w:link w:val="709"/>
    <w:uiPriority w:val="99"/>
  </w:style>
  <w:style w:type="character" w:styleId="711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712">
    <w:name w:val="annotation text"/>
    <w:basedOn w:val="689"/>
    <w:link w:val="713"/>
    <w:uiPriority w:val="99"/>
    <w:semiHidden/>
    <w:unhideWhenUsed/>
    <w:rPr>
      <w:sz w:val="20"/>
      <w:szCs w:val="20"/>
    </w:rPr>
  </w:style>
  <w:style w:type="character" w:styleId="713" w:customStyle="1">
    <w:name w:val="Текст примечания Знак"/>
    <w:basedOn w:val="696"/>
    <w:link w:val="712"/>
    <w:uiPriority w:val="99"/>
    <w:semiHidden/>
    <w:rPr>
      <w:sz w:val="20"/>
      <w:szCs w:val="20"/>
    </w:rPr>
  </w:style>
  <w:style w:type="paragraph" w:styleId="714">
    <w:name w:val="annotation subject"/>
    <w:basedOn w:val="712"/>
    <w:next w:val="712"/>
    <w:link w:val="715"/>
    <w:uiPriority w:val="99"/>
    <w:semiHidden/>
    <w:unhideWhenUsed/>
    <w:rPr>
      <w:b/>
      <w:bCs/>
    </w:rPr>
  </w:style>
  <w:style w:type="character" w:styleId="715" w:customStyle="1">
    <w:name w:val="Тема примечания Знак"/>
    <w:basedOn w:val="713"/>
    <w:link w:val="714"/>
    <w:uiPriority w:val="99"/>
    <w:semiHidden/>
    <w:rPr>
      <w:b/>
      <w:bCs/>
      <w:sz w:val="20"/>
      <w:szCs w:val="20"/>
    </w:rPr>
  </w:style>
  <w:style w:type="paragraph" w:styleId="716">
    <w:name w:val="Subtitle"/>
    <w:basedOn w:val="689"/>
    <w:next w:val="689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17" w:customStyle="1">
    <w:name w:val="StGen0"/>
    <w:basedOn w:val="697"/>
    <w:tblPr>
      <w:tblStyleRowBandSize w:val="1"/>
      <w:tblStyleColBandSize w:val="1"/>
    </w:tblPr>
  </w:style>
  <w:style w:type="paragraph" w:styleId="718">
    <w:name w:val="Normal (Web)"/>
    <w:basedOn w:val="689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19" w:customStyle="1">
    <w:name w:val="p1"/>
    <w:basedOn w:val="689"/>
    <w:rPr>
      <w:rFonts w:ascii="Arial" w:hAnsi="Arial" w:eastAsia="Times New Roman" w:cs="Arial"/>
      <w:color w:val="000000"/>
      <w:sz w:val="18"/>
      <w:szCs w:val="18"/>
    </w:rPr>
  </w:style>
  <w:style w:type="paragraph" w:styleId="720">
    <w:name w:val="Subtitle"/>
    <w:basedOn w:val="680"/>
    <w:next w:val="68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mailto:info@mpara.ru" TargetMode="External"/><Relationship Id="rId15" Type="http://schemas.openxmlformats.org/officeDocument/2006/relationships/hyperlink" Target="mailto:info@mpar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cuSmkmrk5nWNepyXQexYBPteQ==">CgMxLjAaHgoBMBIZChcIB0ITCghQVCBTZXJpZhIHQ291c2luZTgAciExcE1ubDVLY3I1SFN4VFQtUzRqOEdfdXQ3ZjVrUU5SOW8=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F</dc:creator>
  <cp:lastModifiedBy>Александр Широких</cp:lastModifiedBy>
  <cp:revision>1</cp:revision>
  <dcterms:created xsi:type="dcterms:W3CDTF">2025-04-30T09:39:00Z</dcterms:created>
  <dcterms:modified xsi:type="dcterms:W3CDTF">2025-05-05T12:21:44Z</dcterms:modified>
</cp:coreProperties>
</file>